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仿宋" w:hAnsi="仿宋" w:eastAsia="方正黑体简体" w:cs="方正黑体简体"/>
          <w:sz w:val="32"/>
          <w:szCs w:val="32"/>
          <w:lang w:val="en-US" w:eastAsia="zh-CN"/>
        </w:rPr>
        <w:t>附件</w:t>
      </w:r>
    </w:p>
    <w:p>
      <w:pPr>
        <w:spacing w:line="560" w:lineRule="exact"/>
        <w:ind w:right="382" w:firstLine="880" w:firstLineChars="200"/>
        <w:jc w:val="center"/>
        <w:rPr>
          <w:rFonts w:hint="default" w:ascii="仿宋" w:hAnsi="仿宋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仿宋" w:hAnsi="仿宋" w:eastAsia="方正小标宋简体" w:cs="Times New Roman"/>
          <w:color w:val="auto"/>
          <w:sz w:val="44"/>
          <w:szCs w:val="44"/>
          <w:highlight w:val="none"/>
          <w:u w:val="none"/>
        </w:rPr>
        <w:t>银行业金融机构指标评分表</w:t>
      </w:r>
    </w:p>
    <w:tbl>
      <w:tblPr>
        <w:tblStyle w:val="2"/>
        <w:tblpPr w:leftFromText="180" w:rightFromText="180" w:vertAnchor="text" w:horzAnchor="page" w:tblpX="1824" w:tblpY="368"/>
        <w:tblOverlap w:val="never"/>
        <w:tblW w:w="83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132"/>
        <w:gridCol w:w="1513"/>
        <w:gridCol w:w="47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黑体简体" w:cs="方正黑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黑体简体" w:cs="方正黑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指标类别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黑体简体" w:cs="方正黑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黑体简体" w:cs="方正黑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子板块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黑体简体" w:cs="方正黑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黑体简体" w:cs="方正黑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指标名称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黑体简体" w:cs="方正黑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黑体简体" w:cs="方正黑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指标计分方法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9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楷体简体" w:cs="方正楷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经济贡献和服务质量指标（60分）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信贷支持情况（40分）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 xml:space="preserve"> (政策性银行信贷支持情况得分×0.7)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兵团单位贷款余额（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评价得分=贷款余额排序指数×15；贷款余额排序指数=本行年末兵团单位贷款余额/各行年末兵团单位贷款余额最高值。</w:t>
            </w:r>
            <w:r>
              <w:rPr>
                <w:rFonts w:hint="eastAsia" w:ascii="仿宋" w:hAnsi="仿宋" w:eastAsia="方正楷体简体" w:cs="方正楷体简体"/>
                <w:b w:val="0"/>
                <w:bCs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（各行在南疆师市单位贷款余额按1.5倍计入</w:t>
            </w:r>
            <w:r>
              <w:rPr>
                <w:rFonts w:hint="eastAsia" w:ascii="仿宋" w:hAnsi="仿宋" w:eastAsia="方正楷体简体" w:cs="方正楷体简体"/>
                <w:b w:val="0"/>
                <w:bCs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方正楷体简体" w:cs="方正楷体简体"/>
                <w:b w:val="0"/>
                <w:bCs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各行在小微、民营企业贷款余额按1.2倍计入。</w:t>
            </w:r>
            <w:r>
              <w:rPr>
                <w:rFonts w:hint="eastAsia" w:ascii="仿宋" w:hAnsi="仿宋" w:eastAsia="方正楷体简体" w:cs="方正楷体简体"/>
                <w:b w:val="0"/>
                <w:bCs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9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兵团单位贷款增量（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评价得分=净增贷款排序指数×25；贷款增量排序指数=本行兵团单位净增贷款/各行兵团单位净增贷款最高值；负增长得0分。</w:t>
            </w:r>
            <w:r>
              <w:rPr>
                <w:rFonts w:hint="eastAsia" w:ascii="仿宋" w:hAnsi="仿宋" w:eastAsia="方正楷体简体" w:cs="方正楷体简体"/>
                <w:b w:val="0"/>
                <w:bCs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（各行在南疆师市单位贷款增量按1.5倍计入</w:t>
            </w:r>
            <w:r>
              <w:rPr>
                <w:rFonts w:hint="eastAsia" w:ascii="仿宋" w:hAnsi="仿宋" w:eastAsia="方正楷体简体" w:cs="方正楷体简体"/>
                <w:b w:val="0"/>
                <w:bCs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方正楷体简体" w:cs="方正楷体简体"/>
                <w:b w:val="0"/>
                <w:bCs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各行在小微、民营企业贷款余额按1.2倍计入。</w:t>
            </w:r>
            <w:r>
              <w:rPr>
                <w:rFonts w:hint="eastAsia" w:ascii="仿宋" w:hAnsi="仿宋" w:eastAsia="方正楷体简体" w:cs="方正楷体简体"/>
                <w:b w:val="0"/>
                <w:bCs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金融服务机构建设（10分）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存量服务机构建设情况（4分）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各行在兵团辖域已建成的二级分行和支行，每个得0.5分，最高不超过4分。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9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新设服务机构（6分）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各行在兵团辖域每新增1个二级分行或支行（含升级），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分别得2分和1分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，最高不超过6分。(</w:t>
            </w:r>
            <w:r>
              <w:rPr>
                <w:rFonts w:hint="default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银行业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金融机构新设或升格机构资料以监管机构批复为依据)。</w:t>
            </w:r>
            <w:r>
              <w:rPr>
                <w:rFonts w:hint="eastAsia" w:ascii="仿宋" w:hAnsi="仿宋" w:eastAsia="方正楷体简体" w:cs="方正楷体简体"/>
                <w:b w:val="0"/>
                <w:bCs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（各行在南疆新设1个，得3分。）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9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支持乡村振兴战略（10分）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新设网点情况（5分）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在评价年度内，在兵团团场每新增1个营业网点，得1分，最高不超过5分。(</w:t>
            </w:r>
            <w:r>
              <w:rPr>
                <w:rFonts w:hint="default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银行业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 xml:space="preserve">金融机构新设网点以监管机构批复为依据。)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9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兵团小额农户贷款投放额（5分）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评价得分=（该行遵照共同守则投放兵团小额农户贷款数额/各行遵照共同守则投放兵团小额农户贷款最高数额）×5。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楷体简体" w:cs="方正楷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改革</w:t>
            </w:r>
            <w:r>
              <w:rPr>
                <w:rFonts w:hint="eastAsia" w:ascii="仿宋" w:hAnsi="仿宋" w:eastAsia="方正楷体简体" w:cs="方正楷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发展</w:t>
            </w:r>
            <w:r>
              <w:rPr>
                <w:rFonts w:hint="eastAsia" w:ascii="仿宋" w:hAnsi="仿宋" w:eastAsia="方正楷体简体" w:cs="方正楷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贡献度指标（40分）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金融发展（10分）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金融发展投资贡献（10分）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辖区企业参股银行业金融机构获取0.1亿元投资收益，加1分，最高加10分</w:t>
            </w:r>
            <w:r>
              <w:rPr>
                <w:rFonts w:hint="default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防范金融风险（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0分）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团场经营性债务化解（10分）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配合兵团将团场经营性债务还贷主体转换为师属国有企业，每化解1亿元，得1分，最高10分。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国资国企债务化解（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0分）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配合兵团国有企业对存量经营性债务进行展期、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倒贷、置换、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债转股的，每化解1亿元，得1分，最高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重大债务风险化解（10分）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对化解兵团重大债务风险做出贡献效果显著的，加5（含）-10分，效果优良的，加1-5分。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楷体简体" w:cs="方正楷体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楷体简体" w:cs="方正楷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加分项目（5分）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有充足理由认定对兵团改革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发展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等做出重大贡献的银行业金融机构。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认定每一项重大贡献加1分，最高5分。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方正楷体简体" w:cs="方正楷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楷体简体" w:cs="方正楷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扣分项目（</w:t>
            </w:r>
            <w:r>
              <w:rPr>
                <w:rFonts w:hint="eastAsia" w:ascii="仿宋" w:hAnsi="仿宋" w:eastAsia="方正楷体简体" w:cs="方正楷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方正楷体简体" w:cs="方正楷体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分）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不积极贯彻兵团深化改革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发展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政策，或未有效处置金融风险事件，对兵团改革发展或金融生态环境产生不良影响。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经营行为偏离兵团改革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发展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方向，每次扣10分；不积极配合兵团改革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发展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，每次扣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分；造成严重风险事件的，每次扣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方正仿宋简体" w:cs="方正仿宋简体"/>
                <w:color w:val="auto"/>
                <w:kern w:val="0"/>
                <w:sz w:val="22"/>
                <w:highlight w:val="none"/>
                <w:u w:val="none"/>
                <w:shd w:val="clear" w:color="auto" w:fill="auto"/>
              </w:rPr>
              <w:t>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802DF"/>
    <w:rsid w:val="15A8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2019-10-17T08:48:00Z</dcterms:created>
  <dc:creator>橙子</dc:creator>
  <cp:lastModifiedBy>橙子</cp:lastModifiedBy>
  <dcterms:modified xsi:type="dcterms:W3CDTF">2019-10-17T08:49:38Z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